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FAC" w14:textId="77777777" w:rsidR="00C60239" w:rsidRPr="00C60239" w:rsidRDefault="00C60239" w:rsidP="005D319C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Dichiarazione d’impegno di Donau Soja per gli agricoltori</w:t>
      </w:r>
    </w:p>
    <w:p w14:paraId="2C024FAD" w14:textId="77777777" w:rsidR="00986857" w:rsidRDefault="00C60239" w:rsidP="00986857">
      <w:pPr>
        <w:pStyle w:val="Titel"/>
      </w:pPr>
      <w:r w:rsidRPr="00E44E09">
        <w:rPr>
          <w:lang w:val="it-IT"/>
        </w:rPr>
        <w:t>Livello di rischio</w:t>
      </w:r>
      <w:r>
        <w:t xml:space="preserve"> 0, 1 e</w:t>
      </w:r>
      <w:r w:rsidR="00940ACB" w:rsidRPr="00986857">
        <w:t xml:space="preserve"> 2</w:t>
      </w:r>
      <w:r w:rsidR="00017306" w:rsidRPr="00986857">
        <w:t xml:space="preserve"> </w:t>
      </w:r>
    </w:p>
    <w:p w14:paraId="50175221" w14:textId="77777777" w:rsidR="0016432C" w:rsidRPr="0016432C" w:rsidRDefault="0016432C" w:rsidP="0016432C">
      <w:pPr>
        <w:pStyle w:val="Untertitel"/>
        <w:rPr>
          <w:lang w:val="en-GB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60239" w:rsidRPr="003C4D1C" w14:paraId="2C024FB3" w14:textId="77777777" w:rsidTr="00416D04">
        <w:tc>
          <w:tcPr>
            <w:tcW w:w="3119" w:type="dxa"/>
          </w:tcPr>
          <w:p w14:paraId="2C024FB1" w14:textId="21B5B646" w:rsidR="00C60239" w:rsidRPr="005D319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CA478C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6237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7" w14:textId="77777777" w:rsidTr="00416D04">
        <w:tc>
          <w:tcPr>
            <w:tcW w:w="3119" w:type="dxa"/>
          </w:tcPr>
          <w:p w14:paraId="2C024FB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6237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0416D04">
        <w:tc>
          <w:tcPr>
            <w:tcW w:w="3119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6237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0416D04">
        <w:tc>
          <w:tcPr>
            <w:tcW w:w="3119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6237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0416D04">
        <w:tc>
          <w:tcPr>
            <w:tcW w:w="3119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6237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0416D04">
        <w:tc>
          <w:tcPr>
            <w:tcW w:w="3119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EndPr/>
          <w:sdtContent>
            <w:tc>
              <w:tcPr>
                <w:tcW w:w="6237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0416D04">
        <w:tc>
          <w:tcPr>
            <w:tcW w:w="3119" w:type="dxa"/>
          </w:tcPr>
          <w:p w14:paraId="2C024FC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EndPr/>
          <w:sdtContent>
            <w:tc>
              <w:tcPr>
                <w:tcW w:w="6237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9" w14:textId="77777777" w:rsidTr="00416D04">
        <w:tc>
          <w:tcPr>
            <w:tcW w:w="3119" w:type="dxa"/>
          </w:tcPr>
          <w:p w14:paraId="2C024FC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9730DC32EB04BDBB020E1065AD11358"/>
            </w:placeholder>
          </w:sdtPr>
          <w:sdtEndPr/>
          <w:sdtContent>
            <w:tc>
              <w:tcPr>
                <w:tcW w:w="6237" w:type="dxa"/>
              </w:tcPr>
              <w:p w14:paraId="2C024FC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BB883B5" w14:textId="0466371F" w:rsidR="003868C9" w:rsidRPr="005D319C" w:rsidRDefault="004E7E4E" w:rsidP="0066397E">
      <w:pPr>
        <w:pStyle w:val="HLblueuppercase"/>
        <w:jc w:val="both"/>
        <w:rPr>
          <w:b w:val="0"/>
          <w:iCs/>
          <w:color w:val="000000"/>
          <w:sz w:val="16"/>
          <w:szCs w:val="16"/>
        </w:rPr>
      </w:pPr>
      <w:r w:rsidRPr="00BC2832">
        <w:rPr>
          <w:b w:val="0"/>
          <w:iCs/>
          <w:color w:val="000000"/>
          <w:sz w:val="16"/>
          <w:szCs w:val="16"/>
          <w:lang w:val="de-AT"/>
        </w:rPr>
        <w:br/>
      </w:r>
      <w:r w:rsidR="003868C9" w:rsidRPr="00BC2832">
        <w:rPr>
          <w:b w:val="0"/>
          <w:iCs/>
          <w:color w:val="000000"/>
          <w:sz w:val="18"/>
          <w:szCs w:val="18"/>
          <w:lang w:val="de-AT"/>
        </w:rPr>
        <w:t xml:space="preserve">Con la propria firma, il produttore concorda che i suddetti dati siano consegnati all'Associazione Donau Soja, e che l'Associazione Donau Soja li conserva e li tratta ai fini delle ispezioni del sistema. </w:t>
      </w:r>
      <w:r w:rsidR="003868C9" w:rsidRPr="0016432C">
        <w:rPr>
          <w:b w:val="0"/>
          <w:iCs/>
          <w:color w:val="000000"/>
          <w:sz w:val="18"/>
          <w:szCs w:val="18"/>
        </w:rPr>
        <w:t>Questo consenso può essere revocato in qualsiasi momento inviando la richiesta scritta all'Associazione Donau Soja. La revoca non influisce sulla legalità del trattamento dei dati create fino a quel momento</w:t>
      </w:r>
      <w:r w:rsidR="0066397E" w:rsidRPr="0016432C">
        <w:rPr>
          <w:b w:val="0"/>
          <w:iCs/>
          <w:color w:val="000000"/>
          <w:sz w:val="18"/>
          <w:szCs w:val="18"/>
        </w:rPr>
        <w:t>.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D" w14:textId="73708F74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60FAD6" w14:textId="77777777" w:rsidR="0016432C" w:rsidRDefault="0016432C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lang w:val="it-IT"/>
        </w:rPr>
      </w:pPr>
    </w:p>
    <w:p w14:paraId="5DBB4AE2" w14:textId="31D389FA" w:rsidR="0016432C" w:rsidRDefault="00C60239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FF0000"/>
          <w:sz w:val="18"/>
          <w:szCs w:val="18"/>
          <w:lang w:val="en-GB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Donau </w:t>
      </w:r>
      <w:r>
        <w:rPr>
          <w:rFonts w:ascii="Verdana" w:hAnsi="Verdana" w:cs="Tahoma"/>
          <w:color w:val="000000"/>
          <w:sz w:val="18"/>
          <w:lang w:val="it-IT"/>
        </w:rPr>
        <w:t xml:space="preserve">Soja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  <w:r w:rsidRPr="00C60239">
        <w:rPr>
          <w:rFonts w:ascii="Verdana" w:hAnsi="Verdana" w:cs="Tahoma"/>
          <w:color w:val="FF0000"/>
          <w:sz w:val="18"/>
          <w:szCs w:val="18"/>
          <w:lang w:val="en-GB"/>
        </w:rPr>
        <w:t xml:space="preserve"> </w:t>
      </w:r>
    </w:p>
    <w:p w14:paraId="462C700D" w14:textId="77777777" w:rsidR="0016432C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="00C60239"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 w:rsidR="00C60239"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024FE6" w14:textId="208C6C88" w:rsidR="00C60239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en-US"/>
        </w:rPr>
      </w:pPr>
      <w:r>
        <w:rPr>
          <w:rFonts w:ascii="Verdana" w:hAnsi="Verdana" w:cs="Tahoma"/>
          <w:color w:val="000000"/>
          <w:sz w:val="18"/>
          <w:szCs w:val="20"/>
          <w:lang w:val="it-IT"/>
        </w:rPr>
        <w:br/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="00C60239"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2C024FE7" w14:textId="77777777" w:rsidR="00C60239" w:rsidRDefault="00C60239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41AB3EB5" w14:textId="77777777" w:rsidR="0016432C" w:rsidRPr="00B87124" w:rsidRDefault="0016432C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2C024FEB" w14:textId="77777777" w:rsidR="00271D7F" w:rsidRPr="00986857" w:rsidRDefault="00C60239" w:rsidP="00C60239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0D2551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</w:p>
    <w:p w14:paraId="2C024FEC" w14:textId="427250D9" w:rsidR="0066397E" w:rsidRDefault="0066397E">
      <w:pPr>
        <w:spacing w:after="0" w:line="240" w:lineRule="auto"/>
        <w:rPr>
          <w:rFonts w:ascii="Verdana" w:hAnsi="Verdana" w:cs="Tahoma"/>
          <w:b/>
          <w:bCs/>
          <w:iCs/>
          <w:color w:val="76B82A"/>
          <w:sz w:val="24"/>
          <w:szCs w:val="52"/>
          <w:lang w:val="en-GB" w:eastAsia="en-GB"/>
        </w:rPr>
      </w:pPr>
      <w:r w:rsidRPr="00AE1C74">
        <w:rPr>
          <w:lang w:val="en-GB"/>
        </w:rPr>
        <w:br w:type="page"/>
      </w:r>
    </w:p>
    <w:p w14:paraId="713B1A75" w14:textId="77777777" w:rsidR="00BA318D" w:rsidRDefault="00BA318D" w:rsidP="00BA318D">
      <w:pPr>
        <w:pStyle w:val="HLgreenuppercase"/>
        <w:spacing w:after="0"/>
        <w:rPr>
          <w:lang w:val="it-IT"/>
        </w:rPr>
      </w:pPr>
    </w:p>
    <w:p w14:paraId="2C024FED" w14:textId="340CFC62" w:rsidR="00C60239" w:rsidRPr="00C60239" w:rsidRDefault="00C60239" w:rsidP="00BA318D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I requisiti di Donau Soja per gli agricoltori</w:t>
      </w:r>
    </w:p>
    <w:p w14:paraId="0B08D178" w14:textId="1AD8C665" w:rsidR="00850225" w:rsidRPr="002B356B" w:rsidRDefault="00986857" w:rsidP="002B356B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F14153" w:rsidRDefault="00F14153" w:rsidP="00F1415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F14153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43F2244A" w14:textId="698436DF" w:rsidR="003A113F" w:rsidRDefault="003A113F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3A113F">
        <w:rPr>
          <w:rFonts w:ascii="Verdana" w:hAnsi="Verdana" w:cs="Tahoma"/>
          <w:color w:val="000000"/>
          <w:sz w:val="17"/>
          <w:szCs w:val="17"/>
          <w:lang w:val="it-IT"/>
        </w:rPr>
        <w:t>Le aree di coltivazione si trovano all'interno della regione definita da Donau Soja</w:t>
      </w:r>
      <w:r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EF" w14:textId="56F95649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6674F3">
        <w:rPr>
          <w:rFonts w:ascii="Verdana" w:hAnsi="Verdana" w:cs="Tahoma"/>
          <w:sz w:val="17"/>
          <w:szCs w:val="17"/>
          <w:lang w:val="it-IT"/>
        </w:rPr>
        <w:t>oltivate</w:t>
      </w:r>
      <w:r w:rsidR="002C3085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6674F3">
        <w:rPr>
          <w:rFonts w:ascii="Verdana" w:hAnsi="Verdana" w:cs="Tahoma"/>
          <w:sz w:val="17"/>
          <w:szCs w:val="17"/>
          <w:lang w:val="it-IT"/>
        </w:rPr>
        <w:t>;</w:t>
      </w:r>
    </w:p>
    <w:p w14:paraId="2C024FF0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2C024FF1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2C024FF2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2C024FF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2C024FF5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cs="Tahoma"/>
          <w:sz w:val="17"/>
          <w:szCs w:val="17"/>
          <w:lang w:val="it-IT"/>
        </w:rPr>
        <w:t xml:space="preserve">Usare solo </w:t>
      </w:r>
      <w:r w:rsidRPr="006674F3">
        <w:rPr>
          <w:rFonts w:eastAsia="Tahoma" w:cs="Tahoma"/>
          <w:sz w:val="17"/>
          <w:szCs w:val="17"/>
          <w:lang w:val="it-IT"/>
        </w:rPr>
        <w:t>prodotti per la difesa fitosanitaria registrati e autorizzati a livello nazionale su soia</w:t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4FF6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I prodotti fitosanitari devono essere applicati utilizzando metodi per recare meno danno agli uomini e all’ambiente;</w:t>
      </w:r>
    </w:p>
    <w:p w14:paraId="2C024FF7" w14:textId="77777777" w:rsidR="00C60239" w:rsidRPr="0075275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Le tecniche di difesa integrata deve essere applicata per minimizzare l’impatto negativo dei prodotti fitosanitar</w:t>
      </w:r>
      <w:r>
        <w:rPr>
          <w:rFonts w:eastAsia="Times New Roman"/>
          <w:sz w:val="17"/>
          <w:szCs w:val="17"/>
          <w:lang w:val="it-IT"/>
        </w:rPr>
        <w:t>i</w:t>
      </w:r>
      <w:r w:rsidRPr="00752751">
        <w:rPr>
          <w:rFonts w:eastAsia="Times New Roman"/>
          <w:sz w:val="17"/>
          <w:szCs w:val="17"/>
          <w:lang w:val="it-IT"/>
        </w:rPr>
        <w:t>;</w:t>
      </w:r>
    </w:p>
    <w:p w14:paraId="33C56E11" w14:textId="77777777" w:rsidR="00A726F5" w:rsidRPr="00A726F5" w:rsidRDefault="00C60239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Un piano per la difesa fitosanitaria integrata deve</w:t>
      </w:r>
      <w:r w:rsidRPr="006674F3">
        <w:rPr>
          <w:rFonts w:eastAsia="Times New Roman"/>
          <w:sz w:val="17"/>
          <w:szCs w:val="17"/>
          <w:lang w:val="it-IT"/>
        </w:rPr>
        <w:t xml:space="preserve"> essere realizzato</w:t>
      </w:r>
      <w:r w:rsidRPr="006674F3">
        <w:rPr>
          <w:rFonts w:eastAsia="Tahoma" w:cs="Tahoma"/>
          <w:sz w:val="17"/>
          <w:szCs w:val="17"/>
          <w:lang w:val="it-IT"/>
        </w:rPr>
        <w:t>;</w:t>
      </w:r>
    </w:p>
    <w:p w14:paraId="0932989C" w14:textId="2F142B14" w:rsidR="009457D6" w:rsidRPr="00A726F5" w:rsidRDefault="009457D6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A726F5">
        <w:rPr>
          <w:sz w:val="17"/>
          <w:szCs w:val="17"/>
          <w:lang w:val="it-IT"/>
        </w:rPr>
        <w:t>Gli agricoltori devono documentare l'applicazione di prodotti fitosanitari, fertilizzanti e l'uso di carburante;</w:t>
      </w:r>
    </w:p>
    <w:p w14:paraId="2C024FFA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ahoma" w:cs="Tahoma"/>
          <w:sz w:val="17"/>
          <w:szCs w:val="17"/>
          <w:lang w:val="it-IT"/>
        </w:rPr>
        <w:t>Non utilizzare alcun prodotto disseccante prima della raccolta</w:t>
      </w:r>
      <w:r w:rsidRPr="006674F3">
        <w:rPr>
          <w:rFonts w:cs="Tahoma"/>
          <w:sz w:val="17"/>
          <w:szCs w:val="17"/>
          <w:lang w:val="it-IT"/>
        </w:rPr>
        <w:t xml:space="preserve"> (e.g. glifosate o diquat);</w:t>
      </w:r>
    </w:p>
    <w:p w14:paraId="2C024FFB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Non devono usare prodotti fitosanitari presenti nell’elenco delle convenzioni di Stoccolma e Rotterdam;</w:t>
      </w:r>
    </w:p>
    <w:p w14:paraId="2C024FFC" w14:textId="6088983B" w:rsidR="00C60239" w:rsidRPr="0085608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856081">
        <w:rPr>
          <w:rFonts w:eastAsia="Times New Roman"/>
          <w:sz w:val="17"/>
          <w:szCs w:val="17"/>
          <w:lang w:val="it-IT"/>
        </w:rPr>
        <w:t>Non devono essere usati prodotti fitosanitari indicati nella lista d</w:t>
      </w:r>
      <w:r>
        <w:rPr>
          <w:rFonts w:eastAsia="Times New Roman"/>
          <w:sz w:val="17"/>
          <w:szCs w:val="17"/>
          <w:lang w:val="it-IT"/>
        </w:rPr>
        <w:t>e</w:t>
      </w:r>
      <w:r w:rsidRPr="00856081">
        <w:rPr>
          <w:rFonts w:eastAsia="Times New Roman"/>
          <w:sz w:val="17"/>
          <w:szCs w:val="17"/>
          <w:lang w:val="it-IT"/>
        </w:rPr>
        <w:t>ll</w:t>
      </w:r>
      <w:r w:rsidRPr="00856081">
        <w:rPr>
          <w:rFonts w:cs="Tahoma"/>
          <w:sz w:val="17"/>
          <w:szCs w:val="17"/>
          <w:lang w:val="it-IT"/>
        </w:rPr>
        <w:t>’</w:t>
      </w:r>
      <w:r w:rsidRPr="00856081">
        <w:rPr>
          <w:rFonts w:eastAsia="Times New Roman"/>
          <w:sz w:val="17"/>
          <w:szCs w:val="17"/>
          <w:lang w:val="it-IT"/>
        </w:rPr>
        <w:t>OMS 1a e 1b</w:t>
      </w:r>
      <w:r w:rsidR="00AE1C74">
        <w:rPr>
          <w:rFonts w:eastAsia="Times New Roman"/>
          <w:sz w:val="17"/>
          <w:szCs w:val="17"/>
          <w:lang w:val="it-IT"/>
        </w:rPr>
        <w:t xml:space="preserve"> (Teflutrin)</w:t>
      </w:r>
      <w:r w:rsidR="00647E92">
        <w:rPr>
          <w:rFonts w:eastAsia="Times New Roman"/>
          <w:sz w:val="17"/>
          <w:szCs w:val="17"/>
          <w:lang w:val="it-IT"/>
        </w:rPr>
        <w:t>;</w:t>
      </w:r>
    </w:p>
    <w:p w14:paraId="2C024FFD" w14:textId="2E9528A1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537A21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Pr="006674F3">
        <w:rPr>
          <w:rFonts w:cs="Tahoma"/>
          <w:sz w:val="17"/>
          <w:szCs w:val="17"/>
          <w:lang w:val="it-IT" w:eastAsia="de-DE"/>
        </w:rPr>
        <w:t xml:space="preserve"> dalle aree abitate o corpo idrico;</w:t>
      </w:r>
    </w:p>
    <w:p w14:paraId="2C024FFE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2C024FFF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Buone pratiche agricole devono essere applicate;</w:t>
      </w:r>
    </w:p>
    <w:p w14:paraId="2C025000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Gli agricoltori devono avere la conoscenza delle tecniche per mantenere e controllare la qualità del terreno così come per prevenire l’erosione del suole e le rilevanti tecniche da adottare;</w:t>
      </w:r>
    </w:p>
    <w:p w14:paraId="7C6F15FB" w14:textId="77777777" w:rsid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6674F3">
        <w:rPr>
          <w:rFonts w:cs="Tahoma"/>
          <w:sz w:val="17"/>
          <w:szCs w:val="17"/>
          <w:lang w:val="it-IT"/>
        </w:rPr>
        <w:t>Attenersi alle raccomandazioni contenute nel “Manuale di Buone Pratiche” di Donau Soja, incluse le raccomandazioni specifiche sui prodotti per la difesa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3"/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5002" w14:textId="6E5D4342" w:rsidR="00C60239" w:rsidRP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0B7989">
        <w:rPr>
          <w:rFonts w:cs="Tahoma"/>
          <w:bCs/>
          <w:sz w:val="17"/>
          <w:szCs w:val="17"/>
          <w:lang w:val="it-IT"/>
        </w:rPr>
        <w:t xml:space="preserve">Aderire ed implementare la </w:t>
      </w:r>
      <w:r w:rsidRPr="000B7989">
        <w:rPr>
          <w:rFonts w:cs="Tahoma"/>
          <w:sz w:val="17"/>
          <w:szCs w:val="17"/>
          <w:lang w:val="it-IT"/>
        </w:rPr>
        <w:t xml:space="preserve">PAC (Politica Agricola Comunitaria) </w:t>
      </w:r>
      <w:r w:rsidR="009E4C06" w:rsidRPr="009E4C06">
        <w:rPr>
          <w:rFonts w:cs="Tahoma"/>
          <w:sz w:val="17"/>
          <w:szCs w:val="17"/>
          <w:lang w:val="it-IT"/>
        </w:rPr>
        <w:t>con controlli di condizionalità obbligatori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4"/>
      </w:r>
      <w:r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6674F3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2C025006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9" w14:textId="77777777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6674F3">
        <w:rPr>
          <w:rFonts w:ascii="Verdana" w:hAnsi="Verdana" w:cs="Tahoma"/>
          <w:sz w:val="17"/>
          <w:szCs w:val="17"/>
          <w:lang w:val="it-IT"/>
        </w:rPr>
        <w:t>.</w:t>
      </w:r>
    </w:p>
    <w:p w14:paraId="231A2904" w14:textId="77777777" w:rsidR="00CC2E7F" w:rsidRPr="00CC2E7F" w:rsidRDefault="00CC2E7F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CC2E7F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p w14:paraId="41478F79" w14:textId="2FE94573" w:rsidR="003D30A8" w:rsidRPr="00CC2E7F" w:rsidRDefault="00C60239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sectPr w:rsidR="003D30A8" w:rsidRPr="00CC2E7F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D3F3" w14:textId="77777777" w:rsidR="00D17EEC" w:rsidRDefault="00D17EEC" w:rsidP="00BD6CEE">
      <w:pPr>
        <w:spacing w:after="0" w:line="240" w:lineRule="auto"/>
      </w:pPr>
      <w:r>
        <w:separator/>
      </w:r>
    </w:p>
  </w:endnote>
  <w:endnote w:type="continuationSeparator" w:id="0">
    <w:p w14:paraId="19D76C19" w14:textId="77777777" w:rsidR="00D17EEC" w:rsidRDefault="00D17EEC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2" w14:textId="2D71AE9D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35045E">
      <w:rPr>
        <w:rFonts w:ascii="Verdana" w:hAnsi="Verdana" w:cs="Tahoma"/>
        <w:i/>
        <w:sz w:val="16"/>
        <w:szCs w:val="16"/>
        <w:lang w:val="it-IT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6BDF" w14:textId="77777777" w:rsidR="00D17EEC" w:rsidRDefault="00D17EEC" w:rsidP="00BD6CEE">
      <w:pPr>
        <w:spacing w:after="0" w:line="240" w:lineRule="auto"/>
      </w:pPr>
      <w:r>
        <w:separator/>
      </w:r>
    </w:p>
  </w:footnote>
  <w:footnote w:type="continuationSeparator" w:id="0">
    <w:p w14:paraId="2FB6266B" w14:textId="77777777" w:rsidR="00D17EEC" w:rsidRDefault="00D17EEC" w:rsidP="00BD6CEE">
      <w:pPr>
        <w:spacing w:after="0" w:line="240" w:lineRule="auto"/>
      </w:pPr>
      <w:r>
        <w:continuationSeparator/>
      </w:r>
    </w:p>
  </w:footnote>
  <w:footnote w:id="1">
    <w:p w14:paraId="36701938" w14:textId="7E249944" w:rsidR="002C3085" w:rsidRPr="00E95C4F" w:rsidRDefault="002C3085" w:rsidP="002C3085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E95C4F" w:rsidRPr="00E95C4F">
        <w:rPr>
          <w:rFonts w:ascii="Verdana" w:eastAsia="Calibri" w:hAnsi="Verdana" w:cs="Tahoma"/>
          <w:sz w:val="13"/>
          <w:szCs w:val="13"/>
          <w:lang w:val="en-GB"/>
        </w:rPr>
        <w:t>Nota: I requisiti legali applicabili riguardanti la moltiplicazione dei semi (leggi sulla protezione delle varietà vegetali) devono essere osservati e rispettati</w:t>
      </w:r>
      <w:r w:rsidR="00E95C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C025087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+9R5MGQOWFPM/f+b7ldOykQjoYhP8OALkB2McAgwjWdjwPXDb3Qr6pKjMjxvDaRnqC91g94Xea7q5GlPTZ56A==" w:salt="jso+tztr3eXWZ0rC3PKC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478DD"/>
    <w:rsid w:val="00152138"/>
    <w:rsid w:val="00153618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356B"/>
    <w:rsid w:val="002B7AAA"/>
    <w:rsid w:val="002C1053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1E6"/>
    <w:rsid w:val="00334267"/>
    <w:rsid w:val="00340F15"/>
    <w:rsid w:val="00344FE7"/>
    <w:rsid w:val="0035045E"/>
    <w:rsid w:val="003549EA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69DF"/>
    <w:rsid w:val="00416D04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71CF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A7F01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6BAE"/>
    <w:rsid w:val="006B0D63"/>
    <w:rsid w:val="006B41ED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576F2"/>
    <w:rsid w:val="00760115"/>
    <w:rsid w:val="00761944"/>
    <w:rsid w:val="00780378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307D"/>
    <w:rsid w:val="008D6B8D"/>
    <w:rsid w:val="008E5BD6"/>
    <w:rsid w:val="008F00D2"/>
    <w:rsid w:val="00912247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7D6"/>
    <w:rsid w:val="00956EB6"/>
    <w:rsid w:val="00964337"/>
    <w:rsid w:val="00965080"/>
    <w:rsid w:val="00967C67"/>
    <w:rsid w:val="009733CD"/>
    <w:rsid w:val="0098066E"/>
    <w:rsid w:val="0098148D"/>
    <w:rsid w:val="00985B19"/>
    <w:rsid w:val="00986857"/>
    <w:rsid w:val="0099756C"/>
    <w:rsid w:val="009C03DC"/>
    <w:rsid w:val="009C6ED8"/>
    <w:rsid w:val="009D0062"/>
    <w:rsid w:val="009D1073"/>
    <w:rsid w:val="009D5519"/>
    <w:rsid w:val="009E4C06"/>
    <w:rsid w:val="009E5EF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25E2"/>
    <w:rsid w:val="00A35C87"/>
    <w:rsid w:val="00A36351"/>
    <w:rsid w:val="00A43047"/>
    <w:rsid w:val="00A47AF2"/>
    <w:rsid w:val="00A5223A"/>
    <w:rsid w:val="00A726F5"/>
    <w:rsid w:val="00A95973"/>
    <w:rsid w:val="00A97D89"/>
    <w:rsid w:val="00AB181D"/>
    <w:rsid w:val="00AD4EA8"/>
    <w:rsid w:val="00AE1C74"/>
    <w:rsid w:val="00AE4BDB"/>
    <w:rsid w:val="00B00F74"/>
    <w:rsid w:val="00B04FAE"/>
    <w:rsid w:val="00B06AC1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318D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F7ED0"/>
    <w:rsid w:val="00C03322"/>
    <w:rsid w:val="00C053E4"/>
    <w:rsid w:val="00C118CA"/>
    <w:rsid w:val="00C211B0"/>
    <w:rsid w:val="00C31C34"/>
    <w:rsid w:val="00C33749"/>
    <w:rsid w:val="00C41A04"/>
    <w:rsid w:val="00C426CB"/>
    <w:rsid w:val="00C508D1"/>
    <w:rsid w:val="00C55258"/>
    <w:rsid w:val="00C60239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C2E7F"/>
    <w:rsid w:val="00CD3ACB"/>
    <w:rsid w:val="00CF62BA"/>
    <w:rsid w:val="00D12FBC"/>
    <w:rsid w:val="00D15443"/>
    <w:rsid w:val="00D17EEC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6BE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D91"/>
    <w:rsid w:val="00E85249"/>
    <w:rsid w:val="00E85315"/>
    <w:rsid w:val="00E91B72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334835"/>
    <w:rsid w:val="00474838"/>
    <w:rsid w:val="004C0C61"/>
    <w:rsid w:val="004C69DB"/>
    <w:rsid w:val="004D4B01"/>
    <w:rsid w:val="00680873"/>
    <w:rsid w:val="006C085F"/>
    <w:rsid w:val="006D6940"/>
    <w:rsid w:val="00782F0B"/>
    <w:rsid w:val="007C453B"/>
    <w:rsid w:val="008547EC"/>
    <w:rsid w:val="00856F57"/>
    <w:rsid w:val="00893C10"/>
    <w:rsid w:val="008B7094"/>
    <w:rsid w:val="009672A8"/>
    <w:rsid w:val="009E765A"/>
    <w:rsid w:val="00A1457B"/>
    <w:rsid w:val="00AF3516"/>
    <w:rsid w:val="00CC66D8"/>
    <w:rsid w:val="00D33829"/>
    <w:rsid w:val="00F65AB3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AB3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NF7WRY7KSVXA-62781843-21762</_dlc_DocId>
    <_dlc_DocIdUrl xmlns="7c32cf4b-0836-488d-9ec9-7cc490ad11d9">
      <Url>https://vereindonausoja.sharepoint.com/sites/QM/_layouts/15/DocIdRedir.aspx?ID=NF7WRY7KSVXA-62781843-21762</Url>
      <Description>NF7WRY7KSVXA-62781843-21762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507889-D861-44AD-84E3-A4ADDE8A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5221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2019-01-29T13:41:00Z</cp:lastPrinted>
  <dcterms:created xsi:type="dcterms:W3CDTF">2023-03-23T08:02:00Z</dcterms:created>
  <dcterms:modified xsi:type="dcterms:W3CDTF">2023-03-23T08:03:00Z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1031d2fd-af2d-402f-a05a-cfc6e22adb32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